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Secretaría de Extensión Universitaria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Administrativo.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20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7lJHkIcG39OuDn4nTo+keZAiSA==">CgMxLjA4AHIhMVpjZVQxNEtyZlp1X2d0ZTJ3U3ZIVk5DaWNhVXhLcWNB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